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058DB" w14:textId="77777777" w:rsidR="006F67A1" w:rsidRDefault="006F67A1" w:rsidP="006F67A1">
      <w:pPr>
        <w:pStyle w:val="TableMainHeading"/>
        <w:rPr>
          <w:rFonts w:eastAsiaTheme="minorEastAsia"/>
        </w:rPr>
      </w:pPr>
      <w:r w:rsidRPr="00565D2F">
        <w:t xml:space="preserve">Table </w:t>
      </w:r>
      <w:r>
        <w:t>7</w:t>
      </w:r>
      <w:r w:rsidRPr="00565D2F">
        <w:t>: Firm entry, concentration and wages specification</w:t>
      </w:r>
    </w:p>
    <w:tbl>
      <w:tblPr>
        <w:tblW w:w="5000" w:type="pct"/>
        <w:tblCellMar>
          <w:left w:w="0" w:type="dxa"/>
        </w:tblCellMar>
        <w:tblLook w:val="04A0" w:firstRow="1" w:lastRow="0" w:firstColumn="1" w:lastColumn="0" w:noHBand="0" w:noVBand="1"/>
      </w:tblPr>
      <w:tblGrid>
        <w:gridCol w:w="2001"/>
        <w:gridCol w:w="1187"/>
        <w:gridCol w:w="2506"/>
        <w:gridCol w:w="1011"/>
        <w:gridCol w:w="2321"/>
      </w:tblGrid>
      <w:tr w:rsidR="006F67A1" w:rsidRPr="00565D2F" w14:paraId="0EAE27ED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D95FC" w14:textId="77777777" w:rsidR="006F67A1" w:rsidRPr="00565D2F" w:rsidRDefault="006F67A1" w:rsidP="006F67A1">
            <w:pPr>
              <w:spacing w:after="0"/>
              <w:rPr>
                <w:rFonts w:cs="Calibri"/>
                <w:color w:val="000000"/>
                <w:sz w:val="20"/>
              </w:rPr>
            </w:pPr>
            <w:r w:rsidRPr="00565D2F">
              <w:rPr>
                <w:rFonts w:cs="Calibri"/>
                <w:color w:val="000000"/>
                <w:sz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FC8E0" w14:textId="3FF056DF" w:rsidR="006F67A1" w:rsidRPr="00565D2F" w:rsidRDefault="006F67A1" w:rsidP="006F67A1">
            <w:pPr>
              <w:pStyle w:val="TableColumnHeadingCentred"/>
            </w:pPr>
            <w:r w:rsidRPr="00565D2F">
              <w:t>Firm</w:t>
            </w:r>
            <w:r>
              <w:noBreakHyphen/>
            </w:r>
            <w:r w:rsidRPr="00565D2F">
              <w:t>based entry rate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A1B88" w14:textId="1B9C17FF" w:rsidR="006F67A1" w:rsidRPr="00565D2F" w:rsidRDefault="006F67A1" w:rsidP="006F67A1">
            <w:pPr>
              <w:pStyle w:val="TableColumnHeadingCentred"/>
            </w:pPr>
            <w:r w:rsidRPr="00565D2F">
              <w:t>Firm</w:t>
            </w:r>
            <w:r>
              <w:noBreakHyphen/>
            </w:r>
            <w:r w:rsidRPr="00565D2F">
              <w:t>based entry rate</w:t>
            </w:r>
            <w:r>
              <w:t xml:space="preserve"> (smoothed)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F2CDFC" w14:textId="1F81F4C3" w:rsidR="006F67A1" w:rsidRPr="00565D2F" w:rsidRDefault="00B0564A" w:rsidP="006F67A1">
            <w:pPr>
              <w:pStyle w:val="TableColumnHeadingCentred"/>
            </w:pPr>
            <w:r w:rsidRPr="00565D2F">
              <w:t>Firm</w:t>
            </w:r>
            <w:r>
              <w:noBreakHyphen/>
            </w:r>
            <w:r w:rsidRPr="00565D2F">
              <w:t>based entry rate</w:t>
            </w:r>
            <w:r>
              <w:t xml:space="preserve"> (excludes)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F084B" w14:textId="0502C0E1" w:rsidR="006F67A1" w:rsidRPr="00565D2F" w:rsidRDefault="006F67A1" w:rsidP="006F67A1">
            <w:pPr>
              <w:pStyle w:val="TableColumnHeadingCentred"/>
            </w:pPr>
            <w:r w:rsidRPr="00565D2F">
              <w:t>Firm</w:t>
            </w:r>
            <w:r>
              <w:noBreakHyphen/>
            </w:r>
            <w:r w:rsidRPr="00565D2F">
              <w:t xml:space="preserve">based </w:t>
            </w:r>
            <w:r w:rsidR="00B0564A">
              <w:t>churn</w:t>
            </w:r>
            <w:r w:rsidRPr="00565D2F">
              <w:t xml:space="preserve"> rate</w:t>
            </w:r>
          </w:p>
        </w:tc>
      </w:tr>
      <w:tr w:rsidR="006F67A1" w:rsidRPr="00565D2F" w14:paraId="382DE9C3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5A2E" w14:textId="77777777" w:rsidR="006F67A1" w:rsidRPr="00565D2F" w:rsidRDefault="006F67A1" w:rsidP="006F67A1">
            <w:pPr>
              <w:pStyle w:val="Tabletextleft0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818F" w14:textId="77777777" w:rsidR="006F67A1" w:rsidRPr="00565D2F" w:rsidRDefault="006F67A1" w:rsidP="006F67A1">
            <w:pPr>
              <w:pStyle w:val="Tabletextleft0"/>
              <w:rPr>
                <w:rFonts w:ascii="Times New Roman" w:hAnsi="Times New Roman"/>
              </w:rPr>
            </w:pPr>
          </w:p>
        </w:tc>
        <w:tc>
          <w:tcPr>
            <w:tcW w:w="25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850B" w14:textId="77777777" w:rsidR="006F67A1" w:rsidRPr="00565D2F" w:rsidRDefault="006F67A1" w:rsidP="006F67A1">
            <w:pPr>
              <w:pStyle w:val="Tabletextleft0"/>
              <w:rPr>
                <w:rFonts w:ascii="Arial" w:hAnsi="Arial" w:cs="Arial"/>
              </w:rPr>
            </w:pPr>
            <w:r w:rsidRPr="00565D2F">
              <w:rPr>
                <w:rFonts w:ascii="Arial" w:hAnsi="Arial" w:cs="Arial"/>
              </w:rPr>
              <w:t> 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27B34A4" w14:textId="77777777" w:rsidR="006F67A1" w:rsidRPr="00565D2F" w:rsidRDefault="006F67A1" w:rsidP="006F67A1">
            <w:pPr>
              <w:pStyle w:val="Tabletextleft0"/>
              <w:rPr>
                <w:rFonts w:ascii="Arial" w:hAnsi="Arial" w:cs="Arial"/>
              </w:rPr>
            </w:pP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52589" w14:textId="12D50DB3" w:rsidR="006F67A1" w:rsidRPr="00565D2F" w:rsidRDefault="006F67A1" w:rsidP="006F67A1">
            <w:pPr>
              <w:pStyle w:val="Tabletextleft0"/>
              <w:rPr>
                <w:rFonts w:ascii="Arial" w:hAnsi="Arial" w:cs="Arial"/>
              </w:rPr>
            </w:pPr>
          </w:p>
        </w:tc>
      </w:tr>
      <w:tr w:rsidR="00B0564A" w:rsidRPr="00565D2F" w14:paraId="2BE94185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B462" w14:textId="77777777" w:rsidR="00B0564A" w:rsidRPr="00565D2F" w:rsidRDefault="00B0564A" w:rsidP="00B0564A">
            <w:pPr>
              <w:pStyle w:val="TableTextLeft"/>
            </w:pPr>
            <w:r w:rsidRPr="00565D2F">
              <w:t>Concentration</w:t>
            </w:r>
            <w:r>
              <w:t xml:space="preserve"> (HHI)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E594" w14:textId="36ECF5B8" w:rsidR="00B0564A" w:rsidRPr="00565D2F" w:rsidRDefault="00B0564A" w:rsidP="00B0564A">
            <w:pPr>
              <w:pStyle w:val="TableTextCentered"/>
            </w:pPr>
            <w:r>
              <w:noBreakHyphen/>
            </w:r>
            <w:r w:rsidRPr="00565D2F">
              <w:t>0.111***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074E" w14:textId="690B260B" w:rsidR="00B0564A" w:rsidRPr="00565D2F" w:rsidRDefault="00B0564A" w:rsidP="00B0564A">
            <w:pPr>
              <w:pStyle w:val="TableTextCentered"/>
            </w:pPr>
            <w:r>
              <w:noBreakHyphen/>
            </w:r>
            <w:r w:rsidRPr="00565D2F">
              <w:t>0.1</w:t>
            </w:r>
            <w:r>
              <w:t>07</w:t>
            </w:r>
            <w:r w:rsidRPr="00565D2F">
              <w:t>***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8AC03" w14:textId="378DFE07" w:rsidR="00B0564A" w:rsidRDefault="00B0564A" w:rsidP="00B0564A">
            <w:pPr>
              <w:pStyle w:val="TableTextCentered"/>
            </w:pPr>
            <w:r>
              <w:noBreakHyphen/>
            </w:r>
            <w:r w:rsidRPr="00565D2F">
              <w:t>0.</w:t>
            </w:r>
            <w:r>
              <w:t>119</w:t>
            </w:r>
            <w:r w:rsidRPr="00565D2F">
              <w:t>***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F914" w14:textId="621AED59" w:rsidR="00B0564A" w:rsidRPr="00565D2F" w:rsidRDefault="00B0564A" w:rsidP="00B0564A">
            <w:pPr>
              <w:pStyle w:val="TableTextCentered"/>
            </w:pPr>
            <w:r>
              <w:noBreakHyphen/>
            </w:r>
            <w:r w:rsidRPr="00565D2F">
              <w:t>0.1</w:t>
            </w:r>
            <w:r>
              <w:t>08</w:t>
            </w:r>
            <w:r w:rsidRPr="00565D2F">
              <w:t>***</w:t>
            </w:r>
          </w:p>
        </w:tc>
      </w:tr>
      <w:tr w:rsidR="00B0564A" w:rsidRPr="00565D2F" w14:paraId="47F32FCB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4935" w14:textId="77777777" w:rsidR="00B0564A" w:rsidRPr="00565D2F" w:rsidRDefault="00B0564A" w:rsidP="00B0564A">
            <w:pPr>
              <w:pStyle w:val="TableTextLeft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5170" w14:textId="5216E36A" w:rsidR="00B0564A" w:rsidRPr="00565D2F" w:rsidRDefault="00B0564A" w:rsidP="00B0564A">
            <w:pPr>
              <w:pStyle w:val="TableTextCentered"/>
            </w:pPr>
            <w:r>
              <w:t>(</w:t>
            </w:r>
            <w:r w:rsidRPr="00565D2F">
              <w:t>0.015</w:t>
            </w:r>
            <w:r>
              <w:t>)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380F" w14:textId="26EE6756" w:rsidR="00B0564A" w:rsidRPr="00565D2F" w:rsidRDefault="00B0564A" w:rsidP="00B0564A">
            <w:pPr>
              <w:pStyle w:val="TableTextCentered"/>
            </w:pPr>
            <w:r>
              <w:t>(</w:t>
            </w:r>
            <w:r w:rsidRPr="00565D2F">
              <w:t>0.01</w:t>
            </w:r>
            <w:r>
              <w:t>7)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61182" w14:textId="18DE152F" w:rsidR="00B0564A" w:rsidRDefault="00B0564A" w:rsidP="00B0564A">
            <w:pPr>
              <w:pStyle w:val="TableTextCentered"/>
            </w:pPr>
            <w:r>
              <w:t>(</w:t>
            </w:r>
            <w:r w:rsidRPr="00565D2F">
              <w:t>0.0</w:t>
            </w:r>
            <w:r>
              <w:t>15)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99C0" w14:textId="014BD3B9" w:rsidR="00B0564A" w:rsidRPr="00565D2F" w:rsidRDefault="00B0564A" w:rsidP="00B0564A">
            <w:pPr>
              <w:pStyle w:val="TableTextCentered"/>
            </w:pPr>
            <w:r>
              <w:t>(</w:t>
            </w:r>
            <w:r w:rsidRPr="00565D2F">
              <w:t>0.015</w:t>
            </w:r>
            <w:r>
              <w:t>)</w:t>
            </w:r>
          </w:p>
        </w:tc>
      </w:tr>
      <w:tr w:rsidR="00B0564A" w:rsidRPr="00565D2F" w14:paraId="1635275D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5ECE" w14:textId="77777777" w:rsidR="00B0564A" w:rsidRPr="00565D2F" w:rsidRDefault="00B0564A" w:rsidP="00B0564A">
            <w:pPr>
              <w:pStyle w:val="TableTextLeft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D96D" w14:textId="77777777" w:rsidR="00B0564A" w:rsidRPr="00565D2F" w:rsidRDefault="00B0564A" w:rsidP="00B0564A">
            <w:pPr>
              <w:pStyle w:val="TableTextCentered"/>
              <w:rPr>
                <w:rFonts w:ascii="Times New Roman" w:hAnsi="Times New Roman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7485" w14:textId="77777777" w:rsidR="00B0564A" w:rsidRPr="00565D2F" w:rsidRDefault="00B0564A" w:rsidP="00B0564A">
            <w:pPr>
              <w:pStyle w:val="TableTextCentered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30B940EA" w14:textId="77777777" w:rsidR="00B0564A" w:rsidRPr="00565D2F" w:rsidRDefault="00B0564A" w:rsidP="00B0564A">
            <w:pPr>
              <w:pStyle w:val="TableTextCentered"/>
              <w:rPr>
                <w:rFonts w:ascii="Times New Roman" w:hAnsi="Times New Roman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42D92" w14:textId="64DA95FF" w:rsidR="00B0564A" w:rsidRPr="00565D2F" w:rsidRDefault="00B0564A" w:rsidP="00B0564A">
            <w:pPr>
              <w:pStyle w:val="TableTextCentered"/>
              <w:rPr>
                <w:rFonts w:ascii="Times New Roman" w:hAnsi="Times New Roman"/>
              </w:rPr>
            </w:pPr>
          </w:p>
        </w:tc>
      </w:tr>
      <w:tr w:rsidR="00B0564A" w:rsidRPr="00565D2F" w14:paraId="12E28BFC" w14:textId="77777777" w:rsidTr="00B0564A">
        <w:trPr>
          <w:trHeight w:val="283"/>
        </w:trPr>
        <w:tc>
          <w:tcPr>
            <w:tcW w:w="19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3CECA" w14:textId="77777777" w:rsidR="00B0564A" w:rsidRPr="00565D2F" w:rsidRDefault="00B0564A" w:rsidP="00B0564A">
            <w:pPr>
              <w:pStyle w:val="TableTextLeft"/>
            </w:pPr>
            <w:r w:rsidRPr="00565D2F">
              <w:t>Concentration</w:t>
            </w:r>
            <w:r>
              <w:t xml:space="preserve"> (HHI)</w:t>
            </w:r>
            <w:r w:rsidRPr="00565D2F">
              <w:t xml:space="preserve"> * Entry Rate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0D11C" w14:textId="0CC7B1B2" w:rsidR="00B0564A" w:rsidRPr="00565D2F" w:rsidRDefault="00B0564A" w:rsidP="00B0564A">
            <w:pPr>
              <w:pStyle w:val="TableTextCentered"/>
            </w:pPr>
            <w:r w:rsidRPr="00565D2F">
              <w:t>0.800***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DBB8" w14:textId="7E0DB725" w:rsidR="00B0564A" w:rsidRPr="00565D2F" w:rsidRDefault="00B0564A" w:rsidP="00B0564A">
            <w:pPr>
              <w:pStyle w:val="TableTextCentered"/>
            </w:pPr>
            <w:r w:rsidRPr="00565D2F">
              <w:t>0.</w:t>
            </w:r>
            <w:r>
              <w:t>642</w:t>
            </w:r>
            <w:r w:rsidRPr="00565D2F">
              <w:t>***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2AD23" w14:textId="75DA2E72" w:rsidR="00B0564A" w:rsidRPr="00565D2F" w:rsidRDefault="00B0564A" w:rsidP="00B0564A">
            <w:pPr>
              <w:pStyle w:val="TableTextCentered"/>
            </w:pPr>
            <w:r>
              <w:t>0.906***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CC54" w14:textId="325D2E06" w:rsidR="00B0564A" w:rsidRPr="00565D2F" w:rsidRDefault="00B0564A" w:rsidP="00B0564A">
            <w:pPr>
              <w:pStyle w:val="TableTextCentered"/>
            </w:pPr>
            <w:r w:rsidRPr="00565D2F">
              <w:t>0.</w:t>
            </w:r>
            <w:r>
              <w:t>387</w:t>
            </w:r>
            <w:r w:rsidRPr="00565D2F">
              <w:t>**</w:t>
            </w:r>
          </w:p>
        </w:tc>
      </w:tr>
      <w:tr w:rsidR="00B0564A" w:rsidRPr="00565D2F" w14:paraId="4F056AB8" w14:textId="77777777" w:rsidTr="00B0564A">
        <w:trPr>
          <w:trHeight w:val="283"/>
        </w:trPr>
        <w:tc>
          <w:tcPr>
            <w:tcW w:w="19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0F161" w14:textId="77777777" w:rsidR="00B0564A" w:rsidRPr="00565D2F" w:rsidRDefault="00B0564A" w:rsidP="00B0564A">
            <w:pPr>
              <w:pStyle w:val="TableTextLeft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DDDF" w14:textId="63F8A319" w:rsidR="00B0564A" w:rsidRPr="00565D2F" w:rsidRDefault="00B0564A" w:rsidP="00B0564A">
            <w:pPr>
              <w:pStyle w:val="TableTextCentered"/>
            </w:pPr>
            <w:r>
              <w:t>(</w:t>
            </w:r>
            <w:r w:rsidRPr="00565D2F">
              <w:t>0.228</w:t>
            </w:r>
            <w:r>
              <w:t>)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805E" w14:textId="00C8DF9F" w:rsidR="00B0564A" w:rsidRPr="00565D2F" w:rsidRDefault="00B0564A" w:rsidP="00B0564A">
            <w:pPr>
              <w:pStyle w:val="TableTextCentered"/>
            </w:pPr>
            <w:r>
              <w:t>(</w:t>
            </w:r>
            <w:r w:rsidRPr="00565D2F">
              <w:t>0.2</w:t>
            </w:r>
            <w:r>
              <w:t>35)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B1751" w14:textId="23F1F95E" w:rsidR="00B0564A" w:rsidRDefault="00B0564A" w:rsidP="00B0564A">
            <w:pPr>
              <w:pStyle w:val="TableTextCentered"/>
            </w:pPr>
            <w:r>
              <w:t>(0.343)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4D25" w14:textId="045AB283" w:rsidR="00B0564A" w:rsidRPr="00565D2F" w:rsidRDefault="00B0564A" w:rsidP="00B0564A">
            <w:pPr>
              <w:pStyle w:val="TableTextCentered"/>
            </w:pPr>
            <w:r>
              <w:t>(</w:t>
            </w:r>
            <w:r w:rsidRPr="00565D2F">
              <w:t>0.</w:t>
            </w:r>
            <w:r>
              <w:t>17</w:t>
            </w:r>
            <w:r w:rsidRPr="00565D2F">
              <w:t>8</w:t>
            </w:r>
            <w:r>
              <w:t>)</w:t>
            </w:r>
          </w:p>
        </w:tc>
      </w:tr>
      <w:tr w:rsidR="00B0564A" w:rsidRPr="00565D2F" w14:paraId="45F0E6BB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BEC5D" w14:textId="77777777" w:rsidR="00B0564A" w:rsidRPr="00565D2F" w:rsidRDefault="00B0564A" w:rsidP="00B0564A">
            <w:pPr>
              <w:pStyle w:val="TableTextLeft"/>
            </w:pPr>
            <w:r w:rsidRPr="00565D2F"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76542" w14:textId="77777777" w:rsidR="00B0564A" w:rsidRPr="00565D2F" w:rsidRDefault="00B0564A" w:rsidP="00B0564A">
            <w:pPr>
              <w:pStyle w:val="TableTextCentered"/>
            </w:pPr>
            <w:r w:rsidRPr="00565D2F"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4B548" w14:textId="77777777" w:rsidR="00B0564A" w:rsidRPr="00565D2F" w:rsidRDefault="00B0564A" w:rsidP="00B0564A">
            <w:pPr>
              <w:pStyle w:val="TableTextCentered"/>
            </w:pPr>
            <w:r w:rsidRPr="00565D2F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D309CFA" w14:textId="55EAE685" w:rsidR="00B0564A" w:rsidRPr="00565D2F" w:rsidRDefault="00B0564A" w:rsidP="00B0564A">
            <w:pPr>
              <w:pStyle w:val="TableTextCentered"/>
            </w:pPr>
            <w:r w:rsidRPr="00565D2F"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BC454AA" w14:textId="565A31AD" w:rsidR="00B0564A" w:rsidRPr="00565D2F" w:rsidRDefault="00B0564A" w:rsidP="00B0564A">
            <w:pPr>
              <w:pStyle w:val="TableTextCentered"/>
            </w:pPr>
          </w:p>
        </w:tc>
      </w:tr>
      <w:tr w:rsidR="00B0564A" w:rsidRPr="00565D2F" w14:paraId="7F5C747D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8021" w14:textId="77777777" w:rsidR="00B0564A" w:rsidRPr="00565D2F" w:rsidRDefault="00B0564A" w:rsidP="00B0564A">
            <w:pPr>
              <w:pStyle w:val="TableTextLeft"/>
            </w:pPr>
            <w:r w:rsidRPr="00565D2F">
              <w:t>R</w:t>
            </w:r>
            <w:r w:rsidRPr="00565D2F">
              <w:rPr>
                <w:vertAlign w:val="superscript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56EA" w14:textId="5D894EE9" w:rsidR="00B0564A" w:rsidRPr="00565D2F" w:rsidRDefault="00B0564A" w:rsidP="00B0564A">
            <w:pPr>
              <w:pStyle w:val="TableTextCentered"/>
            </w:pPr>
            <w:r w:rsidRPr="00565D2F">
              <w:t>0.686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428C" w14:textId="77777777" w:rsidR="00B0564A" w:rsidRPr="00565D2F" w:rsidRDefault="00B0564A" w:rsidP="00B0564A">
            <w:pPr>
              <w:pStyle w:val="TableTextCentered"/>
            </w:pPr>
            <w:r w:rsidRPr="00565D2F">
              <w:t>0.683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CBC80" w14:textId="2F9A72A1" w:rsidR="00B0564A" w:rsidRPr="00565D2F" w:rsidRDefault="00B0564A" w:rsidP="00B0564A">
            <w:pPr>
              <w:pStyle w:val="TableTextCentered"/>
            </w:pPr>
            <w:r w:rsidRPr="00565D2F">
              <w:t>0.683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D24B" w14:textId="2D030893" w:rsidR="00B0564A" w:rsidRPr="00565D2F" w:rsidRDefault="00B0564A" w:rsidP="00B0564A">
            <w:pPr>
              <w:pStyle w:val="TableTextCentered"/>
            </w:pPr>
            <w:r w:rsidRPr="00565D2F">
              <w:t>0.686</w:t>
            </w:r>
          </w:p>
        </w:tc>
      </w:tr>
      <w:tr w:rsidR="00B0564A" w:rsidRPr="00565D2F" w14:paraId="002B6DD4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DD952" w14:textId="77777777" w:rsidR="00B0564A" w:rsidRPr="00565D2F" w:rsidRDefault="00B0564A" w:rsidP="00B0564A">
            <w:pPr>
              <w:pStyle w:val="TableTextLeft"/>
            </w:pPr>
            <w:r w:rsidRPr="00565D2F">
              <w:t>N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6E6A4" w14:textId="161AF706" w:rsidR="00B0564A" w:rsidRPr="00565D2F" w:rsidRDefault="00B0564A" w:rsidP="00B0564A">
            <w:pPr>
              <w:pStyle w:val="TableTextCentered"/>
            </w:pPr>
            <w:r w:rsidRPr="00565D2F">
              <w:t>274,000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2933" w14:textId="77777777" w:rsidR="00B0564A" w:rsidRPr="00565D2F" w:rsidRDefault="00B0564A" w:rsidP="00B0564A">
            <w:pPr>
              <w:pStyle w:val="TableTextCentered"/>
            </w:pPr>
            <w:r w:rsidRPr="00565D2F">
              <w:t>274,000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10324" w14:textId="532C5D0F" w:rsidR="00B0564A" w:rsidRPr="00565D2F" w:rsidRDefault="00B0564A" w:rsidP="00B0564A">
            <w:pPr>
              <w:pStyle w:val="TableTextCentered"/>
            </w:pPr>
            <w:r w:rsidRPr="00565D2F">
              <w:t>274,000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5AAD" w14:textId="2E88772F" w:rsidR="00B0564A" w:rsidRPr="00565D2F" w:rsidRDefault="00B0564A" w:rsidP="00B0564A">
            <w:pPr>
              <w:pStyle w:val="TableTextCentered"/>
            </w:pPr>
            <w:r w:rsidRPr="00565D2F">
              <w:t>274,000</w:t>
            </w:r>
          </w:p>
        </w:tc>
      </w:tr>
      <w:tr w:rsidR="00B0564A" w:rsidRPr="00565D2F" w14:paraId="5CBF7584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0FC5D" w14:textId="77777777" w:rsidR="00B0564A" w:rsidRPr="00565D2F" w:rsidRDefault="00B0564A" w:rsidP="00B0564A">
            <w:pPr>
              <w:pStyle w:val="TableColumnHeadingLeft"/>
            </w:pPr>
            <w:r w:rsidRPr="00565D2F">
              <w:t>Fixed effects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E44EB" w14:textId="77777777" w:rsidR="00B0564A" w:rsidRPr="00565D2F" w:rsidRDefault="00B0564A" w:rsidP="00B0564A">
            <w:pPr>
              <w:pStyle w:val="TableTextCentered"/>
            </w:pPr>
            <w:r w:rsidRPr="00565D2F"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6B806" w14:textId="77777777" w:rsidR="00B0564A" w:rsidRPr="00565D2F" w:rsidRDefault="00B0564A" w:rsidP="00B0564A">
            <w:pPr>
              <w:pStyle w:val="TableTextCentered"/>
            </w:pPr>
            <w:r w:rsidRPr="00565D2F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60D8796" w14:textId="67FAE8BB" w:rsidR="00B0564A" w:rsidRPr="00565D2F" w:rsidRDefault="00B0564A" w:rsidP="00B0564A">
            <w:pPr>
              <w:pStyle w:val="TableTextCentered"/>
            </w:pPr>
            <w:r w:rsidRPr="00565D2F"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E910C" w14:textId="72F25757" w:rsidR="00B0564A" w:rsidRPr="00565D2F" w:rsidRDefault="00B0564A" w:rsidP="00B0564A">
            <w:pPr>
              <w:pStyle w:val="TableTextCentered"/>
            </w:pPr>
            <w:r w:rsidRPr="00565D2F">
              <w:t> </w:t>
            </w:r>
          </w:p>
        </w:tc>
      </w:tr>
      <w:tr w:rsidR="00B0564A" w:rsidRPr="00565D2F" w14:paraId="48D3F9BD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220B" w14:textId="77777777" w:rsidR="00B0564A" w:rsidRPr="00565D2F" w:rsidRDefault="00B0564A" w:rsidP="00B0564A">
            <w:pPr>
              <w:pStyle w:val="TableTextLeft"/>
            </w:pPr>
            <w:r w:rsidRPr="00565D2F">
              <w:t>Local market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D8B6" w14:textId="77777777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9A5A" w14:textId="77777777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6654E9" w14:textId="1FBF376F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5F89" w14:textId="60175D62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</w:tr>
      <w:tr w:rsidR="00B0564A" w:rsidRPr="00565D2F" w14:paraId="2AB7B46A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A1F4" w14:textId="77777777" w:rsidR="00B0564A" w:rsidRPr="00565D2F" w:rsidRDefault="00B0564A" w:rsidP="00B0564A">
            <w:pPr>
              <w:pStyle w:val="TableTextLeft"/>
            </w:pPr>
            <w:r w:rsidRPr="00565D2F">
              <w:t>Time*Industry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BC66" w14:textId="77777777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55B8" w14:textId="77777777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B5B10" w14:textId="05BE6D94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4452" w14:textId="1FD46675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</w:tr>
      <w:tr w:rsidR="00B0564A" w:rsidRPr="00565D2F" w14:paraId="7097FB07" w14:textId="77777777" w:rsidTr="00B0564A">
        <w:trPr>
          <w:trHeight w:val="283"/>
        </w:trPr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109F1" w14:textId="77777777" w:rsidR="00B0564A" w:rsidRPr="00565D2F" w:rsidRDefault="00B0564A" w:rsidP="00B0564A">
            <w:pPr>
              <w:pStyle w:val="TableTextLeft"/>
            </w:pPr>
            <w:r w:rsidRPr="00565D2F">
              <w:t>Time*Location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74EAD" w14:textId="77777777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1FA73" w14:textId="77777777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AB4104" w14:textId="757E687B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1B8B7" w14:textId="5B91565E" w:rsidR="00B0564A" w:rsidRPr="00565D2F" w:rsidRDefault="00B0564A" w:rsidP="00B0564A">
            <w:pPr>
              <w:pStyle w:val="TableTextCentered"/>
            </w:pPr>
            <w:r w:rsidRPr="00565D2F">
              <w:t>Y</w:t>
            </w:r>
          </w:p>
        </w:tc>
      </w:tr>
    </w:tbl>
    <w:p w14:paraId="11861E60" w14:textId="736C6700" w:rsidR="006F67A1" w:rsidRDefault="006F67A1" w:rsidP="006F67A1">
      <w:pPr>
        <w:pStyle w:val="ChartorTableNote"/>
        <w:jc w:val="left"/>
      </w:pPr>
      <w:r w:rsidRPr="007F1C1C">
        <w:t>Note: All regressions include a set of common controls covering market characteristics (number of workers in the market. Errors clustered at the local market level.</w:t>
      </w:r>
      <w:r>
        <w:t xml:space="preserve"> </w:t>
      </w:r>
      <w:r w:rsidR="00B0564A">
        <w:t>Smooth entry metric uses average number of firms as denominator. Excludes metric</w:t>
      </w:r>
      <w:r>
        <w:t xml:space="preserve"> entry rate removes entry where the firm exists for only one year.</w:t>
      </w:r>
      <w:r w:rsidR="00B0564A">
        <w:t xml:space="preserve"> Churn rate is sum of entry and exit, divided by average number of firms.</w:t>
      </w:r>
    </w:p>
    <w:p w14:paraId="68DB19E5" w14:textId="5D9B217B" w:rsidR="006D4C0C" w:rsidRDefault="000565CD"/>
    <w:sectPr w:rsidR="006D4C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A1"/>
    <w:rsid w:val="000565CD"/>
    <w:rsid w:val="00156A4A"/>
    <w:rsid w:val="00456F1F"/>
    <w:rsid w:val="006F67A1"/>
    <w:rsid w:val="00740522"/>
    <w:rsid w:val="00B0564A"/>
    <w:rsid w:val="00C128A3"/>
    <w:rsid w:val="00E4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95C7D"/>
  <w15:chartTrackingRefBased/>
  <w15:docId w15:val="{023876A1-B770-47A4-8464-13F75F6C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7A1"/>
    <w:pPr>
      <w:spacing w:before="120" w:after="120" w:line="240" w:lineRule="auto"/>
    </w:pPr>
    <w:rPr>
      <w:rFonts w:ascii="Calibri Light" w:eastAsia="Times New Roman" w:hAnsi="Calibri Light" w:cs="Times New Roman"/>
      <w:szCs w:val="20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67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torTableNote">
    <w:name w:val="Chart or Table Note"/>
    <w:next w:val="Normal"/>
    <w:rsid w:val="006F67A1"/>
    <w:pPr>
      <w:spacing w:after="0" w:line="240" w:lineRule="auto"/>
      <w:jc w:val="both"/>
    </w:pPr>
    <w:rPr>
      <w:rFonts w:ascii="Calibri" w:eastAsia="Times New Roman" w:hAnsi="Calibri" w:cs="Times New Roman"/>
      <w:color w:val="000000"/>
      <w:sz w:val="18"/>
      <w:szCs w:val="20"/>
      <w:lang w:eastAsia="en-AU"/>
    </w:rPr>
  </w:style>
  <w:style w:type="paragraph" w:customStyle="1" w:styleId="TableMainHeading">
    <w:name w:val="Table Main Heading"/>
    <w:basedOn w:val="Heading3"/>
    <w:next w:val="Normal"/>
    <w:rsid w:val="006F67A1"/>
    <w:pPr>
      <w:keepLines w:val="0"/>
      <w:spacing w:before="120" w:line="276" w:lineRule="auto"/>
    </w:pPr>
    <w:rPr>
      <w:rFonts w:ascii="Calibri" w:eastAsia="Times New Roman" w:hAnsi="Calibri" w:cs="Arial"/>
      <w:color w:val="ED7D31" w:themeColor="accent2"/>
      <w:kern w:val="32"/>
      <w:sz w:val="26"/>
      <w:szCs w:val="26"/>
    </w:rPr>
  </w:style>
  <w:style w:type="paragraph" w:customStyle="1" w:styleId="TableColumnHeadingCentred">
    <w:name w:val="Table Column Heading Centred"/>
    <w:basedOn w:val="TableTextLeft"/>
    <w:rsid w:val="006F67A1"/>
    <w:pPr>
      <w:jc w:val="center"/>
    </w:pPr>
    <w:rPr>
      <w:b/>
      <w:color w:val="004A7F"/>
      <w:sz w:val="20"/>
    </w:rPr>
  </w:style>
  <w:style w:type="paragraph" w:customStyle="1" w:styleId="TableColumnHeadingLeft">
    <w:name w:val="Table Column Heading Left"/>
    <w:basedOn w:val="TableTextLeft"/>
    <w:rsid w:val="006F67A1"/>
    <w:rPr>
      <w:b/>
      <w:color w:val="004A7F"/>
      <w:sz w:val="20"/>
    </w:rPr>
  </w:style>
  <w:style w:type="paragraph" w:customStyle="1" w:styleId="TableTextCentered">
    <w:name w:val="Table Text Centered"/>
    <w:basedOn w:val="Normal"/>
    <w:rsid w:val="006F67A1"/>
    <w:pPr>
      <w:spacing w:before="40" w:after="40"/>
      <w:jc w:val="center"/>
    </w:pPr>
    <w:rPr>
      <w:color w:val="000000"/>
      <w:sz w:val="18"/>
    </w:rPr>
  </w:style>
  <w:style w:type="paragraph" w:customStyle="1" w:styleId="TableTextLeft">
    <w:name w:val="Table Text Left"/>
    <w:basedOn w:val="Normal"/>
    <w:rsid w:val="006F67A1"/>
    <w:pPr>
      <w:spacing w:before="40" w:after="40"/>
    </w:pPr>
    <w:rPr>
      <w:color w:val="000000"/>
      <w:sz w:val="18"/>
    </w:rPr>
  </w:style>
  <w:style w:type="paragraph" w:customStyle="1" w:styleId="Tabletextleft0">
    <w:name w:val="Table text left"/>
    <w:basedOn w:val="Normal"/>
    <w:rsid w:val="006F67A1"/>
    <w:pPr>
      <w:spacing w:before="40" w:after="40"/>
    </w:pPr>
    <w:rPr>
      <w:rFonts w:asciiTheme="minorHAnsi" w:hAnsiTheme="minorHAnsi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67A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791</Characters>
  <Application>Microsoft Office Word</Application>
  <DocSecurity>0</DocSecurity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Hambur, Jonathan</dc:creator>
  <cp:keywords/>
  <dc:description/>
  <cp:lastModifiedBy>DREW, Paula</cp:lastModifiedBy>
  <cp:revision>2</cp:revision>
  <dcterms:created xsi:type="dcterms:W3CDTF">2023-02-27T22:21:00Z</dcterms:created>
  <dcterms:modified xsi:type="dcterms:W3CDTF">2023-02-27T22:21:00Z</dcterms:modified>
</cp:coreProperties>
</file>